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B58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  <w:u w:val="single"/>
        </w:rPr>
      </w:pPr>
    </w:p>
    <w:p w:rsidR="00AB5916" w:rsidRPr="004B583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4B5837">
        <w:rPr>
          <w:rFonts w:ascii="NeoSansPro-Bold" w:hAnsi="NeoSansPro-Bold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C2" w:rsidRPr="004B5837" w:rsidRDefault="008805C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:rsidR="00AB5916" w:rsidRPr="004B583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Nombre</w:t>
      </w:r>
      <w:r w:rsidR="002342A9" w:rsidRPr="004B5837">
        <w:rPr>
          <w:rFonts w:ascii="Arial" w:hAnsi="Arial" w:cs="Arial"/>
          <w:bCs/>
          <w:color w:val="595959" w:themeColor="text1" w:themeTint="A6"/>
          <w:sz w:val="24"/>
          <w:szCs w:val="24"/>
        </w:rPr>
        <w:t>: Angela Sánchez Alcantar.</w:t>
      </w:r>
    </w:p>
    <w:p w:rsidR="00AB5916" w:rsidRPr="004B5837" w:rsidRDefault="002342A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Grado de Esc</w:t>
      </w:r>
      <w:bookmarkStart w:id="0" w:name="_GoBack"/>
      <w:bookmarkEnd w:id="0"/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olaridad: </w:t>
      </w:r>
      <w:r w:rsidRPr="004B5837">
        <w:rPr>
          <w:rFonts w:ascii="Arial" w:hAnsi="Arial" w:cs="Arial"/>
          <w:bCs/>
          <w:color w:val="595959" w:themeColor="text1" w:themeTint="A6"/>
          <w:sz w:val="24"/>
          <w:szCs w:val="24"/>
        </w:rPr>
        <w:t>Licenciatura</w:t>
      </w:r>
    </w:p>
    <w:p w:rsidR="00AB5916" w:rsidRPr="004B58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Cédula Profesional</w:t>
      </w:r>
      <w:r w:rsidR="002342A9"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:</w:t>
      </w:r>
      <w:r w:rsidR="00D529D3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Pr="002A0710">
        <w:rPr>
          <w:rFonts w:ascii="Arial" w:hAnsi="Arial" w:cs="Arial"/>
          <w:bCs/>
          <w:color w:val="595959" w:themeColor="text1" w:themeTint="A6"/>
          <w:sz w:val="24"/>
          <w:szCs w:val="24"/>
        </w:rPr>
        <w:t>Licenciatura</w:t>
      </w:r>
      <w:r w:rsidR="00D529D3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</w:t>
      </w:r>
      <w:r w:rsidR="002342A9" w:rsidRPr="004B5837">
        <w:rPr>
          <w:rFonts w:ascii="Arial" w:hAnsi="Arial" w:cs="Arial"/>
          <w:bCs/>
          <w:color w:val="595959" w:themeColor="text1" w:themeTint="A6"/>
          <w:sz w:val="24"/>
          <w:szCs w:val="24"/>
        </w:rPr>
        <w:t>4446656</w:t>
      </w:r>
    </w:p>
    <w:p w:rsidR="002342A9" w:rsidRPr="004B583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Teléfono de Oficina</w:t>
      </w:r>
      <w:r w:rsidR="002342A9"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="00AA10F9" w:rsidRPr="003B6BD5">
        <w:rPr>
          <w:rFonts w:ascii="Arial" w:hAnsi="Arial" w:cs="Arial"/>
          <w:bCs/>
          <w:color w:val="595959" w:themeColor="text1" w:themeTint="A6"/>
          <w:sz w:val="24"/>
          <w:szCs w:val="24"/>
        </w:rPr>
        <w:t>2288149428</w:t>
      </w:r>
    </w:p>
    <w:p w:rsidR="002342A9" w:rsidRPr="004B5837" w:rsidRDefault="00AB5916" w:rsidP="002342A9">
      <w:pPr>
        <w:spacing w:after="180" w:line="259" w:lineRule="auto"/>
        <w:rPr>
          <w:rFonts w:ascii="Neo Sans Pro" w:eastAsia="Calibri" w:hAnsi="Neo Sans Pro" w:cs="Times New Roman"/>
          <w:color w:val="595959" w:themeColor="text1" w:themeTint="A6"/>
          <w:sz w:val="18"/>
          <w:szCs w:val="18"/>
        </w:rPr>
      </w:pPr>
      <w:r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Correo </w:t>
      </w:r>
      <w:r w:rsidR="00B55469"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Electrónico</w:t>
      </w:r>
      <w:r w:rsidR="002342A9" w:rsidRPr="004B583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</w:p>
    <w:p w:rsidR="00747B33" w:rsidRPr="004B583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BB2BF2" w:rsidRPr="004B583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  <w:r w:rsidRPr="004B5837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C2" w:rsidRDefault="008805C2" w:rsidP="008805C2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</w:p>
    <w:p w:rsidR="008805C2" w:rsidRDefault="008805C2" w:rsidP="008805C2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De 1999 a 2003</w:t>
      </w:r>
    </w:p>
    <w:p w:rsidR="008805C2" w:rsidRPr="004B5837" w:rsidRDefault="004B5837" w:rsidP="008805C2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Universidad: “Universidad Veracruzana” Licenciatura en Derecho.                                      </w:t>
      </w:r>
    </w:p>
    <w:p w:rsidR="004B5837" w:rsidRPr="004B5837" w:rsidRDefault="004B5837" w:rsidP="004B5837">
      <w:pPr>
        <w:tabs>
          <w:tab w:val="left" w:pos="3600"/>
        </w:tabs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</w:p>
    <w:p w:rsidR="00747B33" w:rsidRPr="004B583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747B33" w:rsidRPr="004B583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BB2BF2" w:rsidRPr="004B583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B5837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C2" w:rsidRDefault="008805C2" w:rsidP="004B5837">
      <w:pPr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</w:p>
    <w:p w:rsidR="004B5837" w:rsidRPr="004B5837" w:rsidRDefault="004B5837" w:rsidP="004B5837">
      <w:pPr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2004 - 2017</w:t>
      </w:r>
    </w:p>
    <w:p w:rsidR="004B5837" w:rsidRPr="004B5837" w:rsidRDefault="004B5837" w:rsidP="004B5837">
      <w:pPr>
        <w:spacing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color w:val="595959" w:themeColor="text1" w:themeTint="A6"/>
          <w:sz w:val="24"/>
          <w:szCs w:val="24"/>
        </w:rPr>
        <w:t>Oficial secretario, Dirección General de Averiguaciones Previas, actualmente Investigaciones Ministeriales, de la Fiscalía General del Estado.</w:t>
      </w:r>
    </w:p>
    <w:p w:rsidR="004B5837" w:rsidRPr="004B5837" w:rsidRDefault="004B5837" w:rsidP="004B5837">
      <w:pPr>
        <w:spacing w:after="0" w:line="24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 xml:space="preserve">2017 – a </w:t>
      </w:r>
      <w:r w:rsidR="008805C2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la fecha</w:t>
      </w:r>
    </w:p>
    <w:p w:rsidR="004B5837" w:rsidRPr="004B5837" w:rsidRDefault="004B5837" w:rsidP="004B5837">
      <w:pPr>
        <w:spacing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4B5837">
        <w:rPr>
          <w:rFonts w:ascii="Arial" w:eastAsia="Calibri" w:hAnsi="Arial" w:cs="Arial"/>
          <w:color w:val="595959" w:themeColor="text1" w:themeTint="A6"/>
          <w:sz w:val="24"/>
          <w:szCs w:val="24"/>
        </w:rPr>
        <w:t>Facilitadora Cuarta en la Unidad de Atención Temprana del XI Judicial Xalapa, Ver.</w:t>
      </w:r>
    </w:p>
    <w:p w:rsidR="00747B33" w:rsidRPr="004B5837" w:rsidRDefault="00747B33" w:rsidP="00BB2BF2">
      <w:pPr>
        <w:rPr>
          <w:color w:val="595959" w:themeColor="text1" w:themeTint="A6"/>
          <w:sz w:val="24"/>
          <w:szCs w:val="24"/>
        </w:rPr>
      </w:pPr>
    </w:p>
    <w:p w:rsidR="00AB5916" w:rsidRPr="004B583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  <w:r w:rsidRPr="004B5837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C2" w:rsidRDefault="008805C2" w:rsidP="00AB5916">
      <w:pPr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</w:p>
    <w:p w:rsidR="00BB2BF2" w:rsidRPr="004B5837" w:rsidRDefault="004B5837" w:rsidP="00AB5916">
      <w:pPr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  <w:r w:rsidRPr="004B5837"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  <w:t>*En el área Penal en la Integración de Carpetas de Investigación.</w:t>
      </w:r>
    </w:p>
    <w:p w:rsidR="004B5837" w:rsidRPr="004B5837" w:rsidRDefault="004B5837" w:rsidP="00AB5916">
      <w:pPr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  <w:r w:rsidRPr="004B5837"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  <w:t>*Aplicación de las soluciones alternativas previstas en la Ley Nacional de Mecanismos Alternativos de Solución de Controversias en Materia Penal.</w:t>
      </w:r>
    </w:p>
    <w:sectPr w:rsidR="004B5837" w:rsidRPr="004B583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6A" w:rsidRDefault="00DD6D6A" w:rsidP="00AB5916">
      <w:pPr>
        <w:spacing w:after="0" w:line="240" w:lineRule="auto"/>
      </w:pPr>
      <w:r>
        <w:separator/>
      </w:r>
    </w:p>
  </w:endnote>
  <w:endnote w:type="continuationSeparator" w:id="1">
    <w:p w:rsidR="00DD6D6A" w:rsidRDefault="00DD6D6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6A" w:rsidRDefault="00DD6D6A" w:rsidP="00AB5916">
      <w:pPr>
        <w:spacing w:after="0" w:line="240" w:lineRule="auto"/>
      </w:pPr>
      <w:r>
        <w:separator/>
      </w:r>
    </w:p>
  </w:footnote>
  <w:footnote w:type="continuationSeparator" w:id="1">
    <w:p w:rsidR="00DD6D6A" w:rsidRDefault="00DD6D6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6711"/>
    <w:rsid w:val="00035E4E"/>
    <w:rsid w:val="0005169D"/>
    <w:rsid w:val="00076A27"/>
    <w:rsid w:val="000D5363"/>
    <w:rsid w:val="000E2580"/>
    <w:rsid w:val="00196774"/>
    <w:rsid w:val="002342A9"/>
    <w:rsid w:val="00247088"/>
    <w:rsid w:val="002A0710"/>
    <w:rsid w:val="002F214B"/>
    <w:rsid w:val="00304E91"/>
    <w:rsid w:val="003301E8"/>
    <w:rsid w:val="00354B90"/>
    <w:rsid w:val="003B6BD5"/>
    <w:rsid w:val="003E7CE6"/>
    <w:rsid w:val="0044280D"/>
    <w:rsid w:val="00462C41"/>
    <w:rsid w:val="004A1170"/>
    <w:rsid w:val="004B2D6E"/>
    <w:rsid w:val="004B5837"/>
    <w:rsid w:val="004E4FFA"/>
    <w:rsid w:val="005161E6"/>
    <w:rsid w:val="005502F5"/>
    <w:rsid w:val="00571664"/>
    <w:rsid w:val="005A32B3"/>
    <w:rsid w:val="00600D12"/>
    <w:rsid w:val="006B6226"/>
    <w:rsid w:val="006B643A"/>
    <w:rsid w:val="006C2CDA"/>
    <w:rsid w:val="00723B67"/>
    <w:rsid w:val="00726727"/>
    <w:rsid w:val="00747B33"/>
    <w:rsid w:val="00751DC4"/>
    <w:rsid w:val="00785C57"/>
    <w:rsid w:val="00846235"/>
    <w:rsid w:val="008805C2"/>
    <w:rsid w:val="008F4868"/>
    <w:rsid w:val="00A66637"/>
    <w:rsid w:val="00AA10F9"/>
    <w:rsid w:val="00AA4223"/>
    <w:rsid w:val="00AB5916"/>
    <w:rsid w:val="00B55469"/>
    <w:rsid w:val="00B73714"/>
    <w:rsid w:val="00BA21B4"/>
    <w:rsid w:val="00BB2BF2"/>
    <w:rsid w:val="00CE7F12"/>
    <w:rsid w:val="00D03386"/>
    <w:rsid w:val="00D529D3"/>
    <w:rsid w:val="00D81310"/>
    <w:rsid w:val="00DB2FA1"/>
    <w:rsid w:val="00DD6D6A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2021-12-20T18:18:00Z</dcterms:created>
  <dcterms:modified xsi:type="dcterms:W3CDTF">2021-12-20T18:18:00Z</dcterms:modified>
</cp:coreProperties>
</file>